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44546A"/>
          <w:sz w:val="42"/>
        </w:rPr>
        <w:t>Process Memo — The Impact of Minimum Wage Increases on Incomes, Employment, and Poverty</w:t>
      </w:r>
    </w:p>
    <w:p>
      <w:pPr>
        <w:jc w:val="center"/>
      </w:pPr>
      <w:r>
        <w:rPr>
          <w:rFonts w:ascii="Calibri" w:hAnsi="Calibri"/>
          <w:i/>
          <w:color w:val="555555"/>
          <w:sz w:val="21"/>
        </w:rPr>
        <w:t>NBER working-paper style · delivered August 20, 2026 · Claude with guidance from Jason Furman</w:t>
      </w:r>
    </w:p>
    <w:p>
      <w:pPr>
        <w:pStyle w:val="Heading1"/>
        <w:pBdr>
          <w:bottom w:val="single" w:sz="8" w:space="4" w:color="44546A"/>
        </w:pBdr>
      </w:pPr>
      <w:r>
        <w:t>1. What was commissioned</w:t>
      </w:r>
    </w:p>
    <w:p>
      <w:pPr>
        <w:spacing w:before="80" w:after="160"/>
        <w:ind w:left="72" w:right="72"/>
        <w:shd w:val="clear" w:color="auto" w:fill="EFEFEF"/>
        <w:pBdr>
          <w:top w:val="single" w:sz="6" w:space="6" w:color="9A9A9A"/>
          <w:left w:val="single" w:sz="6" w:space="6" w:color="9A9A9A"/>
          <w:bottom w:val="single" w:sz="6" w:space="6" w:color="9A9A9A"/>
          <w:right w:val="single" w:sz="6" w:space="6" w:color="9A9A9A"/>
        </w:pBdr>
      </w:pPr>
      <w:r>
        <w:rPr>
          <w:b/>
          <w:i/>
          <w:color w:val="404040"/>
          <w:sz w:val="19"/>
        </w:rPr>
        <w:t>Commission (verbatim):</w:t>
      </w:r>
      <w:r>
        <w:rPr>
          <w:b w:val="0"/>
          <w:i/>
          <w:color w:val="333333"/>
          <w:sz w:val="19"/>
        </w:rPr>
        <w:t>Impact of minimum wage increases on incomes, employment and poverty. Ideally use the SIPP but other data sets also most welcome instead or in addition.</w:t>
      </w:r>
    </w:p>
    <w:p>
      <w:r>
        <w:rPr>
          <w:b w:val="0"/>
          <w:i w:val="0"/>
        </w:rPr>
        <w:t xml:space="preserve">Web commission, mode 3 (instant question round plus one emailed round after research), venue </w:t>
      </w:r>
      <w:r>
        <w:rPr>
          <w:b/>
          <w:i w:val="0"/>
        </w:rPr>
        <w:t>NBER</w:t>
      </w:r>
      <w:r>
        <w:rPr>
          <w:b w:val="0"/>
          <w:i w:val="0"/>
        </w:rPr>
        <w:t xml:space="preserve">, byline style </w:t>
      </w:r>
      <w:r>
        <w:rPr>
          <w:b/>
          <w:i w:val="0"/>
        </w:rPr>
        <w:t>guidance</w:t>
      </w:r>
      <w:r>
        <w:rPr>
          <w:b w:val="0"/>
          <w:i w:val="0"/>
        </w:rPr>
        <w:t xml:space="preserve">, outputs </w:t>
      </w:r>
      <w:r>
        <w:rPr>
          <w:b/>
          <w:i w:val="0"/>
        </w:rPr>
        <w:t>DOCX + PDF</w:t>
      </w:r>
      <w:r>
        <w:rPr>
          <w:b w:val="0"/>
          <w:i w:val="0"/>
        </w:rPr>
        <w:t>, length: venue default. Jason Furman is the sole author, so under standing rule 2 every gate resolved automatically; gate 2 (resume after the emailed round) was approved on 2026-08-20.</w:t>
      </w:r>
    </w:p>
    <w:p>
      <w:r>
        <w:rPr>
          <w:b/>
          <w:i w:val="0"/>
        </w:rPr>
        <w:t>Both question rounds returned empty</w:t>
      </w:r>
      <w:r>
        <w:rPr>
          <w:b w:val="0"/>
          <w:i w:val="0"/>
        </w:rPr>
        <w:t xml:space="preserve"> — no answers were submitted in the instant round or the emailed round. The build therefore adopted the recommended defaults that the round-2 questions were anchored on, exactly as posed: (1) Callaway–Sant'Anna staggered event studies as the spine, with the within-person bound-worker design (Clemens–Wither style) as mechanism evidence; (2) monthly poverty and family income lead, employment as the cost side; (3) SIPP 2018–2024 primary with a CPS ASEC companion arm for comparability with the annual literature; (4) the full 2018–2024 window with the pandemic controlled and a no-2020–21 robustness check; (5) net income after transfers as a co-equal second finding; (6) state statutory minimums, hand-extended through 2024 from statutory schedules, with sub-state variation noted as attenuation.</w:t>
      </w:r>
    </w:p>
    <w:p>
      <w:pPr>
        <w:pStyle w:val="Heading1"/>
        <w:pBdr>
          <w:bottom w:val="single" w:sz="8" w:space="4" w:color="44546A"/>
        </w:pBdr>
      </w:pPr>
      <w:r>
        <w:t>2. What was done, in what order</w:t>
      </w:r>
    </w:p>
    <w:p>
      <w:pPr>
        <w:pStyle w:val="ListBullet"/>
      </w:pPr>
      <w:r>
        <w:rPr>
          <w:b/>
          <w:i w:val="0"/>
        </w:rPr>
        <w:t>Aug 19 — Setup and literature.</w:t>
      </w:r>
      <w:r>
        <w:rPr>
          <w:b w:val="0"/>
          <w:i w:val="0"/>
        </w:rPr>
        <w:t xml:space="preserve"> Repo scaffolded; 24 validated source PDFs acquired (MaCurdy 2015 paywalled — flagged); Literature Map built; SIPP feasibility verified live. Auditor gates: Setup PASS; Lit Review REVISE→PASS (archived 2014 White House pages saved as raw HTML with a per-quote register). Build parked for the emailed round.</w:t>
      </w:r>
    </w:p>
    <w:p>
      <w:pPr>
        <w:pStyle w:val="ListBullet"/>
      </w:pPr>
      <w:r>
        <w:rPr>
          <w:b/>
          <w:i w:val="0"/>
        </w:rPr>
        <w:t>Aug 20 — Data and analysis (Stage 1E).</w:t>
      </w:r>
      <w:r>
        <w:rPr>
          <w:b w:val="0"/>
          <w:i w:val="0"/>
        </w:rPr>
        <w:t xml:space="preserve"> State minimum wage panel: Zipperer v1.4.0 extended by 58 hand-coded 2023–24 entries (validated with zero mismatches on the 2016–2022 overlap). SIPP 2018–2024 pooled: 4,007,970 person-months across 51 states and 84 months. Estimators: Callaway–Sant'Anna-style ATT (28 treated cohorts, 21 clean controls, state block bootstrap) beside TWFE; a within-person bound-worker panel (1,004 bound workers, 28 events) with two placebo designs; monthly-vs-annual poverty measurement; a CPS ASEC anchor (income years 1989–2024). Data auditor gate: REVISE (hardcoded seeds) → fixed, re-run byte-identical → PASS.</w:t>
      </w:r>
    </w:p>
    <w:p>
      <w:pPr>
        <w:pStyle w:val="ListBullet"/>
      </w:pPr>
      <w:r>
        <w:rPr>
          <w:b/>
          <w:i w:val="0"/>
        </w:rPr>
        <w:t>Aug 20 — Plan and outline.</w:t>
      </w:r>
      <w:r>
        <w:rPr>
          <w:b w:val="0"/>
          <w:i w:val="0"/>
        </w:rPr>
        <w:t xml:space="preserve"> Plan gate APPROVE. Layered outline 3A→3B→3C with an internal review memo folded in; 3C FINAL gate APPROVE.</w:t>
      </w:r>
    </w:p>
    <w:p>
      <w:pPr>
        <w:pStyle w:val="ListBullet"/>
      </w:pPr>
      <w:r>
        <w:rPr>
          <w:b/>
          <w:i w:val="0"/>
        </w:rPr>
        <w:t>Aug 20 — Draft and passes.</w:t>
      </w:r>
      <w:r>
        <w:rPr>
          <w:b w:val="0"/>
          <w:i w:val="0"/>
        </w:rPr>
        <w:t xml:space="preserve"> Draft v1.0 (~11k words) written and audited (REVISE→PASS); quality pass (16 edits) and two voice rounds (10 edits); declaude and American-spelling both clean.</w:t>
      </w:r>
    </w:p>
    <w:p>
      <w:pPr>
        <w:pStyle w:val="ListBullet"/>
      </w:pPr>
      <w:r>
        <w:rPr>
          <w:b/>
          <w:i w:val="0"/>
        </w:rPr>
        <w:t>Aug 20 — Referee rounds.</w:t>
      </w:r>
      <w:r>
        <w:rPr>
          <w:b w:val="0"/>
          <w:i w:val="0"/>
        </w:rPr>
        <w:t xml:space="preserve"> Two full blind rounds, five disposition-sampled referees plus a case-for-acceptance reader each, plus a first-pass citation audit. Round 1: five major-revision verdicts, ten consensus concerns, all accepted (draft v1.3). Round 2: five major-revision verdicts on fresh eyes, fourteen consensus concerns, all accepted or explicitly deferred (draft v1.4). Verdict trajectory: median acceptance odds ~40% → ~80% after revisions.</w:t>
      </w:r>
    </w:p>
    <w:p>
      <w:pPr>
        <w:pStyle w:val="ListBullet"/>
      </w:pPr>
      <w:r>
        <w:rPr>
          <w:b/>
          <w:i w:val="0"/>
        </w:rPr>
        <w:t>Aug 20 — Finishing (Stage 10).</w:t>
      </w:r>
      <w:r>
        <w:rPr>
          <w:b w:val="0"/>
          <w:i w:val="0"/>
        </w:rPr>
        <w:t xml:space="preserve"> Abstract rewritten last. Five independent final checks on the built manuscript: fresh-context claim verification, citation diff audit, copy-critic pre-send review, number-auditor passport gate, and a blind pre-submission read. The claim check caught three factual errors — most notably a false statement that 2023-2024 SIPP replicate weights were unpublished — and the blind read caught a Conclusion sentence contradicted by the paper's own Table 3; all findings were implemented in draft v1.5 (dispositions in WIP Docs/Referee Reports/). Reproducibility passport: 223 registered numeric claims, all passing against fresh code output. Typography gate PASS (36 pp). Replication package assembled.</w:t>
      </w:r>
    </w:p>
    <w:p>
      <w:pPr>
        <w:pStyle w:val="Heading1"/>
        <w:pBdr>
          <w:bottom w:val="single" w:sz="8" w:space="4" w:color="44546A"/>
        </w:pBdr>
      </w:pPr>
      <w:r>
        <w:t>3. The design calls that shaped the paper</w:t>
      </w:r>
    </w:p>
    <w:p>
      <w:pPr>
        <w:pStyle w:val="ListBullet"/>
      </w:pPr>
      <w:r>
        <w:rPr>
          <w:b/>
          <w:i w:val="0"/>
        </w:rPr>
        <w:t>Monthly grain is the contribution.</w:t>
      </w:r>
      <w:r>
        <w:rPr>
          <w:b w:val="0"/>
          <w:i w:val="0"/>
        </w:rPr>
        <w:t xml:space="preserve"> The redesigned SIPP (2018–2024) covers the largest state-led minimum wage wave in U.S. history and no published study has used it. Monthly measurement is what lets the paper (a) measure poverty as families actually experience it, (b) show that year-grain aggregation can manufacture a spurious positive poverty effect from pre-treatment drift, and (c) reframe the Clemens–Wither bound-worker losses with placebo churn.</w:t>
      </w:r>
    </w:p>
    <w:p>
      <w:pPr>
        <w:pStyle w:val="ListBullet"/>
      </w:pPr>
      <w:r>
        <w:rPr>
          <w:b/>
          <w:i w:val="0"/>
        </w:rPr>
        <w:t>Two placebo designs discipline the bound-worker arm.</w:t>
      </w:r>
      <w:r>
        <w:rPr>
          <w:b w:val="0"/>
          <w:i w:val="0"/>
        </w:rPr>
        <w:t xml:space="preserve"> Raw within-person losses overstate policy harm because low-wage work churns; pseudo-events in no-change states put the point-estimate share of churn at roughly 60–100 percent, with honest netted intervals that still admit losses at Clemens–Wither scale.</w:t>
      </w:r>
    </w:p>
    <w:p>
      <w:pPr>
        <w:pStyle w:val="ListBullet"/>
      </w:pPr>
      <w:r>
        <w:rPr>
          <w:b/>
          <w:i w:val="0"/>
        </w:rPr>
        <w:t>The CPS ASEC companion arm</w:t>
      </w:r>
      <w:r>
        <w:rPr>
          <w:b w:val="0"/>
          <w:i w:val="0"/>
        </w:rPr>
        <w:t xml:space="preserve"> anchors the SIPP findings to the annual designs the literature actually runs (elasticity −0.11, s.e. 0.075, 1990–2024), so the paper adjudicates rather than talks past the Dube–Burkhauser dispute.</w:t>
      </w:r>
    </w:p>
    <w:p>
      <w:pPr>
        <w:pStyle w:val="ListBullet"/>
      </w:pPr>
      <w:r>
        <w:rPr>
          <w:b/>
          <w:i w:val="0"/>
        </w:rPr>
        <w:t>Referee arithmetic correction, accepted against code.</w:t>
      </w:r>
      <w:r>
        <w:rPr>
          <w:b w:val="0"/>
          <w:i w:val="0"/>
        </w:rPr>
        <w:t xml:space="preserve"> Round 2 caught that the draft's event-study wage elasticity divided by a baseline log level; the corrected elasticity (0.24 raw, s.e. 0.18) in fact matches TWFE at the point estimate. The passport register was rebuilt around the corrected values — the manuscript was never the oracle.</w:t>
      </w:r>
    </w:p>
    <w:p>
      <w:pPr>
        <w:pStyle w:val="Heading1"/>
        <w:pBdr>
          <w:bottom w:val="single" w:sz="8" w:space="4" w:color="44546A"/>
        </w:pBdr>
      </w:pPr>
      <w:r>
        <w:t>4. What the referees converged on, and where it stands</w:t>
      </w:r>
    </w:p>
    <w:p>
      <w:r>
        <w:rPr>
          <w:b w:val="0"/>
          <w:i w:val="0"/>
        </w:rPr>
        <w:t>All consensus concerns from both rounds were implemented; the full reports and item-by-item dispositions are preserved in the repo (WIP Docs/Referee Reports/). The recurring themes: the Clemens–Wither comparison had to be recast as within-state (round 1, done); TWFE precision could not be borrowed on the strength of point-estimate agreement (round 2, done — both estimators now reported everywhere); the seam/January concentration of the first stage needed a direct diagnostic (done — a no-seam TWFE variant excising all December and January months); overclaims on churn, on the one-sided netting, and on the aggregation finding were cut to what the estimates support.</w:t>
      </w:r>
    </w:p>
    <w:p>
      <w:pPr>
        <w:pStyle w:val="Heading1"/>
        <w:pBdr>
          <w:bottom w:val="single" w:sz="8" w:space="4" w:color="44546A"/>
        </w:pBdr>
      </w:pPr>
      <w:r>
        <w:t>5. Honest limitations, as stated in the paper</w:t>
      </w:r>
    </w:p>
    <w:p>
      <w:pPr>
        <w:pStyle w:val="ListBullet"/>
      </w:pPr>
      <w:r>
        <w:rPr>
          <w:b w:val="0"/>
          <w:i w:val="0"/>
        </w:rPr>
        <w:t>Poverty point estimates are favorable but the confidence intervals span both camps of the existing dispute; the favorable lean rests on detrended paths that are fragile.</w:t>
      </w:r>
    </w:p>
    <w:p>
      <w:pPr>
        <w:pStyle w:val="ListBullet"/>
      </w:pPr>
      <w:r>
        <w:rPr>
          <w:b w:val="0"/>
          <w:i w:val="0"/>
        </w:rPr>
        <w:t>The SIPP seam: retrospective reporting concentrates measured wage changes at interview seams; the no-seam variant survives, but external validation against CPS-ORG remains undone (top deferred item).</w:t>
      </w:r>
    </w:p>
    <w:p>
      <w:pPr>
        <w:pStyle w:val="ListBullet"/>
      </w:pPr>
      <w:r>
        <w:rPr>
          <w:b w:val="0"/>
          <w:i w:val="0"/>
        </w:rPr>
        <w:t>Public-use SIPP identifies states, not cities — growing sub-state minimums attenuate the treatment measure.</w:t>
      </w:r>
    </w:p>
    <w:p>
      <w:pPr>
        <w:pStyle w:val="ListBullet"/>
      </w:pPr>
      <w:r>
        <w:rPr>
          <w:b w:val="0"/>
          <w:i w:val="0"/>
        </w:rPr>
        <w:t>The pandemic sits mid-sample; it is controlled, and a no-2020–21 check is reported, but it cannot be excised from any year-grain design within this window.</w:t>
      </w:r>
    </w:p>
    <w:p>
      <w:pPr>
        <w:pStyle w:val="ListBullet"/>
      </w:pPr>
      <w:r>
        <w:rPr>
          <w:b w:val="0"/>
          <w:i w:val="0"/>
        </w:rPr>
        <w:t>EITC responses are unobservable at monthly grain here; transfer-clawback findings are scoped to SNAP+TANF.</w:t>
      </w:r>
    </w:p>
    <w:p>
      <w:pPr>
        <w:pStyle w:val="Heading1"/>
        <w:pBdr>
          <w:bottom w:val="single" w:sz="8" w:space="4" w:color="44546A"/>
        </w:pBdr>
      </w:pPr>
      <w:r>
        <w:t>6. Deferred work (named, from the referee rounds)</w:t>
      </w:r>
    </w:p>
    <w:p>
      <w:r>
        <w:rPr>
          <w:b w:val="0"/>
          <w:i w:val="0"/>
        </w:rPr>
        <w:t>Each item below was raised by referees and deliberately deferred rather than silently dropped. In rough priority order:</w:t>
      </w:r>
    </w:p>
    <w:p>
      <w:pPr>
        <w:pStyle w:val="ListNumber"/>
      </w:pPr>
      <w:r>
        <w:rPr>
          <w:b w:val="0"/>
          <w:i w:val="0"/>
        </w:rPr>
        <w:t>CPS-ORG external validation of the SIPP first stage (the decisive seam check; an unbounded-latency data pull, unsuitable for an unattended run).</w:t>
      </w:r>
    </w:p>
    <w:p>
      <w:pPr>
        <w:pStyle w:val="ListNumber"/>
      </w:pPr>
      <w:r>
        <w:rPr>
          <w:b w:val="0"/>
          <w:i w:val="0"/>
        </w:rPr>
        <w:t>Inference upgrades: wild-cluster bootstrap, Callaway–Sant'Anna multiplier bootstrap, effective-cluster diagnostics, and Rambachan–Roth honest-trends bounds for the detrended paths.</w:t>
      </w:r>
    </w:p>
    <w:p>
      <w:pPr>
        <w:pStyle w:val="ListNumber"/>
      </w:pPr>
      <w:r>
        <w:rPr>
          <w:b w:val="0"/>
          <w:i w:val="0"/>
        </w:rPr>
        <w:t>Dube's and Burkhauser–McNichols–Sabia's exact annual specifications run in-house (an R&amp;R-scale exercise).</w:t>
      </w:r>
    </w:p>
    <w:p>
      <w:pPr>
        <w:pStyle w:val="ListNumber"/>
      </w:pPr>
      <w:r>
        <w:rPr>
          <w:b w:val="0"/>
          <w:i w:val="0"/>
        </w:rPr>
        <w:t>An enactment-dated (rather than effective-dated) event design for anticipation.</w:t>
      </w:r>
    </w:p>
    <w:p>
      <w:pPr>
        <w:pStyle w:val="ListNumber"/>
      </w:pPr>
      <w:r>
        <w:rPr>
          <w:b w:val="0"/>
          <w:i w:val="0"/>
        </w:rPr>
        <w:t>A joint bootstrap for the netted bound-worker standard errors (the summed-variance SEs are stated as conservative).</w:t>
      </w:r>
    </w:p>
    <w:p>
      <w:pPr>
        <w:pStyle w:val="ListNumber"/>
      </w:pPr>
      <w:r>
        <w:rPr>
          <w:b w:val="0"/>
          <w:i w:val="0"/>
        </w:rPr>
        <w:t>Bite heterogeneity / minimum-to-median interactions, to sharpen the $13–17 policy boundary.</w:t>
      </w:r>
    </w:p>
    <w:p>
      <w:pPr>
        <w:pStyle w:val="ListNumber"/>
      </w:pPr>
      <w:r>
        <w:rPr>
          <w:b w:val="0"/>
          <w:i w:val="0"/>
        </w:rPr>
        <w:t>Spell-length outcomes — the uniquely monthly object the SIPP could still deliver.</w:t>
      </w:r>
    </w:p>
    <w:p>
      <w:pPr>
        <w:pStyle w:val="ListNumber"/>
      </w:pPr>
      <w:r>
        <w:rPr>
          <w:b w:val="0"/>
          <w:i w:val="0"/>
        </w:rPr>
        <w:t>Microdata quantile estimation for thin state-month wage cells; a full near-poor deliverability accounting; the mid-year-cohort long-horizon path; seam re-anchoring variants; a cumulative-dose specification.</w:t>
      </w:r>
    </w:p>
    <w:p>
      <w:pPr>
        <w:pStyle w:val="Heading1"/>
        <w:pBdr>
          <w:bottom w:val="single" w:sz="8" w:space="4" w:color="44546A"/>
        </w:pBdr>
      </w:pPr>
      <w:r>
        <w:t>7. Asks a co-author could fulfill</w:t>
      </w:r>
    </w:p>
    <w:p>
      <w:pPr>
        <w:pStyle w:val="ListBullet"/>
      </w:pPr>
      <w:r>
        <w:rPr>
          <w:b/>
          <w:i w:val="0"/>
        </w:rPr>
        <w:t>MaCurdy (2015, JPE) full read — the top pre-circulation item.</w:t>
      </w:r>
      <w:r>
        <w:rPr>
          <w:b w:val="0"/>
          <w:i w:val="0"/>
        </w:rPr>
        <w:t xml:space="preserve"> Genuinely paywalled; every unattended recovery attempt failed (one returned the wrong paper). One click of Harvard library access; the paper currently cites it only from its abstract and secondary discussions, with a disclosure footnote.</w:t>
      </w:r>
    </w:p>
    <w:p>
      <w:pPr>
        <w:pStyle w:val="ListBullet"/>
      </w:pPr>
      <w:r>
        <w:rPr>
          <w:b/>
          <w:i w:val="0"/>
        </w:rPr>
        <w:t>The 2014 CEA minimum-wage report PDF</w:t>
      </w:r>
      <w:r>
        <w:rPr>
          <w:b w:val="0"/>
          <w:i w:val="0"/>
        </w:rPr>
        <w:t xml:space="preserve"> — acquisition failed; the paper's engagement with the 2014 record rests on archived White House pages (saved to the repo with a per-quote register). The report itself would let footnote 6's allusion carry a citation.</w:t>
      </w:r>
    </w:p>
    <w:p>
      <w:pPr>
        <w:pStyle w:val="ListBullet"/>
      </w:pPr>
      <w:r>
        <w:rPr>
          <w:b/>
          <w:i w:val="0"/>
        </w:rPr>
        <w:t>A decision on circulating</w:t>
      </w:r>
      <w:r>
        <w:rPr>
          <w:b w:val="0"/>
          <w:i w:val="0"/>
        </w:rPr>
        <w:t>, including whether the deferred CPS-ORG validation should precede circulation.</w:t>
      </w:r>
    </w:p>
    <w:p>
      <w:pPr>
        <w:pStyle w:val="Heading1"/>
        <w:pBdr>
          <w:bottom w:val="single" w:sz="8" w:space="4" w:color="44546A"/>
        </w:pBdr>
      </w:pPr>
      <w:r>
        <w:t>8. Where more or better data would change the answer</w:t>
      </w:r>
    </w:p>
    <w:p>
      <w:pPr>
        <w:pStyle w:val="ListBullet"/>
      </w:pPr>
      <w:r>
        <w:rPr>
          <w:b w:val="0"/>
          <w:i w:val="0"/>
        </w:rPr>
        <w:t>Administrative wage records (or CPS-ORG at scale) would settle how much of the measured first stage is seam artifact — the single check with the most capacity to move the headline elasticities.</w:t>
      </w:r>
    </w:p>
    <w:p>
      <w:pPr>
        <w:pStyle w:val="ListBullet"/>
      </w:pPr>
      <w:r>
        <w:rPr>
          <w:b w:val="0"/>
          <w:i w:val="0"/>
        </w:rPr>
        <w:t>City-level minimums merged to restricted-access SIPP geography would recover the sub-state variation the public file blurs.</w:t>
      </w:r>
    </w:p>
    <w:p>
      <w:pPr>
        <w:pStyle w:val="ListBullet"/>
      </w:pPr>
      <w:r>
        <w:rPr>
          <w:b w:val="0"/>
          <w:i w:val="0"/>
        </w:rPr>
        <w:t>SIPP waves past 2024 would extend the post-periods of the largest $15 phase-ins, which are right-censored here at one to three years.</w:t>
      </w:r>
    </w:p>
    <w:p>
      <w:pPr>
        <w:pStyle w:val="ListBullet"/>
      </w:pPr>
      <w:r>
        <w:rPr>
          <w:b w:val="0"/>
          <w:i w:val="0"/>
        </w:rPr>
        <w:t>Linked SIPP–IRS data would put the EITC back into the net-income accounting that monthly survey data cannot carry.</w:t>
      </w:r>
    </w:p>
    <w:p>
      <w:pPr>
        <w:pStyle w:val="Heading1"/>
        <w:pBdr>
          <w:bottom w:val="single" w:sz="8" w:space="4" w:color="44546A"/>
        </w:pBdr>
      </w:pPr>
      <w:r>
        <w:t>9. Record</w:t>
      </w:r>
    </w:p>
    <w:p>
      <w:r>
        <w:rPr>
          <w:b w:val="0"/>
          <w:i w:val="0"/>
        </w:rPr>
        <w:t>Canonical repo: paper-the-impact-of-minimum-wage-increases-on-incomes (private). Replication package: replication/ in the repo (numbered scripts, data manifest, pinned environment and seeds, table→figure→script map). Reproducibility passport: 218 registered claims, zero failures at delivery. The manuscript, all referee reports and dispositions, the outline layers, and every change log are preserved under WIP Docs/.</w:t>
      </w:r>
    </w:p>
    <w:sectPr w:rsidR="00FC693F" w:rsidRPr="0006063C" w:rsidSect="00034616">
      <w:headerReference w:type="default" r:id="rId9"/>
      <w:footerReference w:type="default" r:id="rId10"/>
      <w:pgSz w:w="12240" w:h="15840"/>
      <w:pgMar w:top="1152" w:right="864" w:bottom="1152" w:left="86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D6DC"/>
      </w:pBdr>
      <w:tabs>
        <w:tab w:pos="10512" w:val="right"/>
      </w:tabs>
    </w:pPr>
    <w:r>
      <w:rPr>
        <w:rFonts w:ascii="Calibri" w:hAnsi="Calibri"/>
        <w:b w:val="0"/>
        <w:i w:val="0"/>
        <w:color w:val="707070"/>
        <w:sz w:val="17"/>
      </w:rPr>
      <w:t>Paper Writing Engine</w:t>
      <w:tab/>
    </w:r>
    <w:r>
      <w:rPr>
        <w:rFonts w:ascii="Calibri" w:hAnsi="Calibri"/>
        <w:b w:val="0"/>
        <w:i w:val="0"/>
        <w:color w:val="707070"/>
        <w:sz w:val="17"/>
      </w:rPr>
      <w:t xml:space="preserve">Page </w:t>
    </w:r>
    <w:r>
      <w:rPr>
        <w:rFonts w:ascii="Calibri" w:hAnsi="Calibri"/>
        <w:b w:val="0"/>
        <w:i w:val="0"/>
        <w:color w:val="707070"/>
        <w:sz w:val="17"/>
      </w:rPr>
      <w:fldChar w:fldCharType="begin"/>
    </w:r>
    <w:r>
      <w:rPr>
        <w:rFonts w:ascii="Calibri" w:hAnsi="Calibri"/>
        <w:b w:val="0"/>
        <w:i w:val="0"/>
        <w:color w:val="707070"/>
        <w:sz w:val="17"/>
      </w:rPr>
      <w:instrText xml:space="preserve"> PAGE </w:instrText>
    </w:r>
    <w:r>
      <w:rPr>
        <w:rFonts w:ascii="Calibri" w:hAnsi="Calibri"/>
        <w:b w:val="0"/>
        <w:i w:val="0"/>
        <w:color w:val="707070"/>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jc w:val="right"/>
      <w:pBdr>
        <w:bottom w:val="single" w:sz="4" w:space="4" w:color="C9D6DC"/>
      </w:pBdr>
    </w:pPr>
    <w:r>
      <w:rPr>
        <w:rFonts w:ascii="Calibri" w:hAnsi="Calibri"/>
        <w:b w:val="0"/>
        <w:i w:val="0"/>
        <w:color w:val="707070"/>
        <w:sz w:val="17"/>
      </w:rPr>
      <w:t>Paper Writing Engine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44546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44546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44546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